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BE" w:rsidRDefault="00B865BE" w:rsidP="00B865BE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Постановление</w:t>
      </w:r>
    </w:p>
    <w:p w:rsidR="00B865BE" w:rsidRDefault="00B865BE" w:rsidP="00B865BE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Кабинета Министров Республики Узбекистан</w:t>
      </w:r>
    </w:p>
    <w:p w:rsidR="00B865BE" w:rsidRDefault="00B865BE" w:rsidP="00B865BE">
      <w:pPr>
        <w:shd w:val="clear" w:color="auto" w:fill="FFFFFF"/>
        <w:jc w:val="center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мерах по обеспечению производства железнодорожной продукции, отвечающей международным стандартам качества и безопасности эксплуатации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Во исполнение </w:t>
      </w:r>
      <w:hyperlink r:id="rId4" w:history="1">
        <w:r>
          <w:rPr>
            <w:rStyle w:val="a3"/>
            <w:rFonts w:eastAsia="Times New Roman"/>
            <w:color w:val="008080"/>
            <w:u w:val="none"/>
          </w:rPr>
          <w:t xml:space="preserve">Закона </w:t>
        </w:r>
      </w:hyperlink>
      <w:r>
        <w:rPr>
          <w:rFonts w:eastAsia="Times New Roman"/>
          <w:color w:val="000000"/>
        </w:rPr>
        <w:t>Республики Узбекистан «О железнодорожном транспорте», постановлений Президента Республики Узбекистан от 16 августа 2017 года № ПП-3221 «</w:t>
      </w:r>
      <w:hyperlink r:id="rId5" w:history="1">
        <w:r>
          <w:rPr>
            <w:rStyle w:val="a3"/>
            <w:rFonts w:eastAsia="Times New Roman"/>
            <w:color w:val="008080"/>
            <w:u w:val="none"/>
          </w:rPr>
          <w:t>О мерах по совершенствованию деятельности Государственной инспекции Республики Узбекистан по надзору за безопасностью железнодорожных перевозок</w:t>
        </w:r>
      </w:hyperlink>
      <w:r>
        <w:rPr>
          <w:rFonts w:eastAsia="Times New Roman"/>
          <w:color w:val="000000"/>
        </w:rPr>
        <w:t>» и Кабинета Министров Республики Узбекистан от 28 ноября 2017 года № 948 «</w:t>
      </w:r>
      <w:hyperlink r:id="rId6" w:history="1">
        <w:r>
          <w:rPr>
            <w:rStyle w:val="a3"/>
            <w:rFonts w:eastAsia="Times New Roman"/>
            <w:color w:val="008080"/>
            <w:u w:val="none"/>
          </w:rPr>
          <w:t>Об организации деятельности Государственной инспекции Республики Узбекистан по надзору за безопасностью железнодорожных перевозок</w:t>
        </w:r>
      </w:hyperlink>
      <w:r>
        <w:rPr>
          <w:rFonts w:eastAsia="Times New Roman"/>
          <w:color w:val="000000"/>
        </w:rPr>
        <w:t>», в целях обеспечения соответствия железнодорожной продукции международным стандартам качества и безопасности железнодорожных перевозок Кабинет Министров постановляет: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Внести изменения и дополнение в </w:t>
      </w:r>
      <w:hyperlink r:id="rId7" w:anchor="2988621" w:history="1">
        <w:r>
          <w:rPr>
            <w:rStyle w:val="a3"/>
            <w:rFonts w:eastAsia="Times New Roman"/>
            <w:color w:val="008080"/>
            <w:u w:val="none"/>
          </w:rPr>
          <w:t xml:space="preserve">Перечень </w:t>
        </w:r>
      </w:hyperlink>
      <w:r>
        <w:rPr>
          <w:rFonts w:eastAsia="Times New Roman"/>
          <w:color w:val="000000"/>
        </w:rPr>
        <w:t xml:space="preserve">производимых в Республике Узбекистан и ввозимых на ее территорию видов продукции, подлежащих обязательной сертификации, утвержденный постановлением Кабинета Министров от 28 апреля 2011 г. № 122 (СП Республики Узбекистан, 2011 г., № 4, ст. 30), согласно </w:t>
      </w:r>
      <w:hyperlink r:id="rId8" w:history="1">
        <w:r>
          <w:rPr>
            <w:rStyle w:val="a3"/>
            <w:rFonts w:eastAsia="Times New Roman"/>
            <w:color w:val="008080"/>
            <w:u w:val="none"/>
          </w:rPr>
          <w:t>приложению</w:t>
        </w:r>
      </w:hyperlink>
      <w:r>
        <w:rPr>
          <w:rFonts w:eastAsia="Times New Roman"/>
          <w:color w:val="000000"/>
        </w:rPr>
        <w:t>.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Установить, что обязательная сертификация железнодорожной продукции осуществляется Государственным унитарным предприятием «Центр по сертификации железнодорожной продукции» при Государственной инспекции Республики Узбекистан по надзору за безопасностью железнодорожных перевозок и аккредитованными в установленном порядке подведомственными центрами испытаний и сертификации при Агентстве «</w:t>
      </w:r>
      <w:proofErr w:type="spellStart"/>
      <w:r>
        <w:rPr>
          <w:rFonts w:eastAsia="Times New Roman"/>
          <w:color w:val="000000"/>
        </w:rPr>
        <w:t>Узстандарт</w:t>
      </w:r>
      <w:proofErr w:type="spellEnd"/>
      <w:r>
        <w:rPr>
          <w:rFonts w:eastAsia="Times New Roman"/>
          <w:color w:val="000000"/>
        </w:rPr>
        <w:t>».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АО «</w:t>
      </w:r>
      <w:proofErr w:type="spellStart"/>
      <w:r>
        <w:rPr>
          <w:rFonts w:eastAsia="Times New Roman"/>
          <w:color w:val="000000"/>
        </w:rPr>
        <w:t>Узбекистон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йуллари</w:t>
      </w:r>
      <w:proofErr w:type="spellEnd"/>
      <w:r>
        <w:rPr>
          <w:rFonts w:eastAsia="Times New Roman"/>
          <w:color w:val="000000"/>
        </w:rPr>
        <w:t>» обеспечить по заявкам, представляемым Государственным унитарным предприятием «Центр по сертификации железнодорожной продукции», беспрепятственное использование испытательных лабораторий подведомственных организаций АО «</w:t>
      </w:r>
      <w:proofErr w:type="spellStart"/>
      <w:r>
        <w:rPr>
          <w:rFonts w:eastAsia="Times New Roman"/>
          <w:color w:val="000000"/>
        </w:rPr>
        <w:t>Узбекистон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йуллари</w:t>
      </w:r>
      <w:proofErr w:type="spellEnd"/>
      <w:r>
        <w:rPr>
          <w:rFonts w:eastAsia="Times New Roman"/>
          <w:color w:val="000000"/>
        </w:rPr>
        <w:t>» для целей проведения испытаний железнодорожной продукции.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Агентству «</w:t>
      </w:r>
      <w:proofErr w:type="spellStart"/>
      <w:r>
        <w:rPr>
          <w:rFonts w:eastAsia="Times New Roman"/>
          <w:color w:val="000000"/>
        </w:rPr>
        <w:t>Узстандарт</w:t>
      </w:r>
      <w:proofErr w:type="spellEnd"/>
      <w:r>
        <w:rPr>
          <w:rFonts w:eastAsia="Times New Roman"/>
          <w:color w:val="000000"/>
        </w:rPr>
        <w:t>», Государственной инспекции Республики Узбекистан по надзору за безопасностью железнодорожных перевозок совместно с заинтересованными министерствами и ведомствами в месячный срок привести принятые ими нормативно-правовые акты в соответствие с настоящим постановлением.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Настоящее постановление вступает в силу с 1 января 2019 года.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Контроль за исполнением настоящего постановления возложить на Первого заместителя Премьер-министра Республики Узбекистан — председателя правления АО «</w:t>
      </w:r>
      <w:proofErr w:type="spellStart"/>
      <w:r>
        <w:rPr>
          <w:rFonts w:eastAsia="Times New Roman"/>
          <w:color w:val="000000"/>
        </w:rPr>
        <w:t>Узбекистон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темир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йуллари</w:t>
      </w:r>
      <w:proofErr w:type="spellEnd"/>
      <w:r>
        <w:rPr>
          <w:rFonts w:eastAsia="Times New Roman"/>
          <w:color w:val="000000"/>
        </w:rPr>
        <w:t xml:space="preserve">» А.Ж. </w:t>
      </w:r>
      <w:proofErr w:type="spellStart"/>
      <w:r>
        <w:rPr>
          <w:rFonts w:eastAsia="Times New Roman"/>
          <w:color w:val="000000"/>
        </w:rPr>
        <w:t>Раматова</w:t>
      </w:r>
      <w:proofErr w:type="spellEnd"/>
      <w:r>
        <w:rPr>
          <w:rFonts w:eastAsia="Times New Roman"/>
          <w:color w:val="000000"/>
        </w:rPr>
        <w:t>, начальника Государственной инспекции Республики Узбекистан по надзору за безопасностью железнодорожных перевозок Д.Б. Ахмедова и генерального директора Агентства «</w:t>
      </w:r>
      <w:proofErr w:type="spellStart"/>
      <w:r>
        <w:rPr>
          <w:rFonts w:eastAsia="Times New Roman"/>
          <w:color w:val="000000"/>
        </w:rPr>
        <w:t>Узстандарт</w:t>
      </w:r>
      <w:proofErr w:type="spellEnd"/>
      <w:r>
        <w:rPr>
          <w:rFonts w:eastAsia="Times New Roman"/>
          <w:color w:val="000000"/>
        </w:rPr>
        <w:t>» А.У. Каримова.</w:t>
      </w:r>
    </w:p>
    <w:p w:rsidR="00B865BE" w:rsidRDefault="00B865BE" w:rsidP="00B865BE">
      <w:pPr>
        <w:shd w:val="clear" w:color="auto" w:fill="FFFFFF"/>
        <w:jc w:val="righ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Премьер-министр Республики Узбекистан А. АРИПОВ</w:t>
      </w:r>
    </w:p>
    <w:p w:rsidR="00B865BE" w:rsidRDefault="00B865BE" w:rsidP="00B865BE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B865BE" w:rsidRDefault="00B865BE" w:rsidP="00B865BE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22 марта 2018 г.,</w:t>
      </w:r>
    </w:p>
    <w:p w:rsidR="00B865BE" w:rsidRDefault="00B865BE" w:rsidP="00B865BE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211</w:t>
      </w:r>
    </w:p>
    <w:p w:rsidR="00B865BE" w:rsidRDefault="00B865BE" w:rsidP="00B865BE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9" w:history="1">
        <w:r>
          <w:rPr>
            <w:rStyle w:val="a3"/>
            <w:rFonts w:eastAsia="Times New Roman"/>
            <w:color w:val="008080"/>
            <w:sz w:val="22"/>
            <w:szCs w:val="22"/>
            <w:u w:val="none"/>
          </w:rPr>
          <w:t xml:space="preserve">постановлению </w:t>
        </w:r>
      </w:hyperlink>
      <w:r>
        <w:rPr>
          <w:rFonts w:eastAsia="Times New Roman"/>
          <w:color w:val="000080"/>
          <w:sz w:val="22"/>
          <w:szCs w:val="22"/>
        </w:rPr>
        <w:t xml:space="preserve">Кабинета Министров от 22 марта 2018 года № 211 </w:t>
      </w:r>
    </w:p>
    <w:p w:rsidR="00B865BE" w:rsidRDefault="00B865BE" w:rsidP="00B865BE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Изменения и дополнение, вносимые в Перечень производимых в Республике Узбекистан и ввозимых на ее территорию видов продукции, подлежащих обязательной сертификации, утвержденный постановлением Кабинета Министров от 28 апреля 2011 г. № 122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Позицию 40 изложить в следующей редакции: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466"/>
        <w:gridCol w:w="5334"/>
        <w:gridCol w:w="2949"/>
        <w:gridCol w:w="372"/>
      </w:tblGrid>
      <w:tr w:rsidR="00B865BE" w:rsidTr="00B865BE">
        <w:tc>
          <w:tcPr>
            <w:tcW w:w="1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65BE" w:rsidRDefault="00B865B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65BE" w:rsidRDefault="00B865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65BE" w:rsidRDefault="00B865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865BE" w:rsidTr="00B865BE"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lastRenderedPageBreak/>
              <w:t>«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40.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r>
              <w:t>Трубы, шланги, шины и покрышки пневматические, камеры резиновые, изделия гигиенические, перчатки хирургические, дорожка для бассейна; изделия резиновые уплотнительные для тормозных пневматических систем железнодорожного подвижного состава (диафрагма, манжеты, воротники, уплотнители клапанов, прокладки, втулки)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4009**,4011*, 4013, 4014, 4015 11 000 0, 4016 91 000 0, 4016 93 000 8</w:t>
            </w:r>
          </w:p>
        </w:tc>
        <w:tc>
          <w:tcPr>
            <w:tcW w:w="2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865BE" w:rsidRDefault="00B865BE">
            <w:r>
              <w:t>».</w:t>
            </w:r>
          </w:p>
        </w:tc>
      </w:tr>
    </w:tbl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Позицию 43 изложить в следующей редакции: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472"/>
        <w:gridCol w:w="5391"/>
        <w:gridCol w:w="2883"/>
        <w:gridCol w:w="375"/>
      </w:tblGrid>
      <w:tr w:rsidR="00B865BE" w:rsidTr="00B865BE"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«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43.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r>
              <w:t>Шпалы деревянные, пропитанные; брусья деревянные для стрелочных переводов; плиты древесностружечные и древесноволокнистые, пропитанные смолами, фанера клееная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4406 91 000 0, 4407 11 4410-4412*</w:t>
            </w:r>
          </w:p>
        </w:tc>
        <w:tc>
          <w:tcPr>
            <w:tcW w:w="2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865BE" w:rsidRDefault="00B865BE">
            <w:r>
              <w:t>».</w:t>
            </w:r>
          </w:p>
        </w:tc>
      </w:tr>
    </w:tbl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Позицию 60 изложить в следующей редакции: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472"/>
        <w:gridCol w:w="5391"/>
        <w:gridCol w:w="2883"/>
        <w:gridCol w:w="375"/>
      </w:tblGrid>
      <w:tr w:rsidR="00B865BE" w:rsidTr="00B865BE"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«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60.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r>
              <w:t>Панели, плиты, плитки агломерированных минеральными связующими веществами, плиты и панели гипсовые, изделия из цемента, бетона и асбоцемента, накладки тормозные, шпалы железобетонные и железобетонные стрелочные брусья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 xml:space="preserve">6808 00 000 0, 6809- 6811*, 6813 20 000 0 (только накладки тормозных </w:t>
            </w:r>
            <w:proofErr w:type="gramStart"/>
            <w:r>
              <w:t>колодок)*</w:t>
            </w:r>
            <w:proofErr w:type="gramEnd"/>
            <w:r>
              <w:t>,</w:t>
            </w:r>
          </w:p>
          <w:p w:rsidR="00B865BE" w:rsidRDefault="00B865BE">
            <w:pPr>
              <w:jc w:val="center"/>
            </w:pPr>
            <w:r>
              <w:t>6813 81 000 0*</w:t>
            </w:r>
          </w:p>
        </w:tc>
        <w:tc>
          <w:tcPr>
            <w:tcW w:w="2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865BE" w:rsidRDefault="00B865BE">
            <w:r>
              <w:t>».</w:t>
            </w:r>
          </w:p>
        </w:tc>
      </w:tr>
    </w:tbl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0" w:anchor="3595980" w:history="1">
        <w:r>
          <w:rPr>
            <w:rStyle w:val="a3"/>
            <w:rFonts w:eastAsia="Times New Roman"/>
            <w:i/>
            <w:iCs/>
            <w:color w:val="008080"/>
            <w:sz w:val="22"/>
            <w:szCs w:val="22"/>
            <w:u w:val="none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</w:t>
      </w:r>
      <w:proofErr w:type="gramStart"/>
      <w:r>
        <w:rPr>
          <w:rFonts w:eastAsia="Times New Roman"/>
          <w:i/>
          <w:iCs/>
          <w:color w:val="800000"/>
          <w:sz w:val="22"/>
          <w:szCs w:val="22"/>
        </w:rPr>
        <w:t>пункт</w:t>
      </w:r>
      <w:proofErr w:type="gramEnd"/>
      <w:r>
        <w:rPr>
          <w:rFonts w:eastAsia="Times New Roman"/>
          <w:i/>
          <w:iCs/>
          <w:color w:val="800000"/>
          <w:sz w:val="22"/>
          <w:szCs w:val="22"/>
        </w:rPr>
        <w:t xml:space="preserve"> 4 утратит силу с 1 января 2019 года </w:t>
      </w:r>
      <w:hyperlink r:id="rId11" w:anchor="3817307" w:history="1">
        <w:r>
          <w:rPr>
            <w:rStyle w:val="a3"/>
            <w:rFonts w:eastAsia="Times New Roman"/>
            <w:i/>
            <w:iCs/>
            <w:color w:val="008080"/>
            <w:sz w:val="22"/>
            <w:szCs w:val="22"/>
            <w:u w:val="none"/>
          </w:rPr>
          <w:t xml:space="preserve">постановлением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5 июля 2018 года № 505 — Национальная база данных законодательства, 06.07.2018 г., № 09/18/505/1460)</w:t>
      </w:r>
    </w:p>
    <w:p w:rsidR="00B865BE" w:rsidRDefault="00B865BE" w:rsidP="00B865BE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Дополнить позицией 71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следующего содержания: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494"/>
        <w:gridCol w:w="5384"/>
        <w:gridCol w:w="2875"/>
        <w:gridCol w:w="368"/>
      </w:tblGrid>
      <w:tr w:rsidR="00B865BE" w:rsidTr="00B865BE"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«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71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r>
              <w:t xml:space="preserve">Локомотивы и </w:t>
            </w:r>
            <w:proofErr w:type="spellStart"/>
            <w:r>
              <w:t>моторвагонные</w:t>
            </w:r>
            <w:proofErr w:type="spellEnd"/>
            <w:r>
              <w:t xml:space="preserve"> подвижные составы; машины балластоочистительные; машины для формирования балластной призмы, планировки и перераспределения балласта; машины для очищения рельсов от грязи и для подрезки балласта в шпальных ящиках; машины для вырезки балласта в междупутье; машины рельсосварочные; машины и механизмы для замены шпал; машины для закрепления и смазки рельсовых скреплений; машины и поезда </w:t>
            </w:r>
            <w:proofErr w:type="spellStart"/>
            <w:r>
              <w:t>рельсошлифовальные</w:t>
            </w:r>
            <w:proofErr w:type="spellEnd"/>
            <w:r>
              <w:t xml:space="preserve">; автомотрисы, мотодрезины, мотовозы; вагоны пассажирские локомотивной тяги (новые), в том числе почтово-багажные и багажные; вагоны грузовые (новые) крытые (универсальные; для перевозки: зерна; минеральных удобрений и сырья минеральных удобрений; </w:t>
            </w:r>
            <w:proofErr w:type="spellStart"/>
            <w:r>
              <w:t>аппатитового</w:t>
            </w:r>
            <w:proofErr w:type="spellEnd"/>
            <w:r>
              <w:t xml:space="preserve"> концентрата; автомобилей; скота; цемента; гранулированной сажи; муки; бумаги; гранулированных полимеров; технического углерода; холоднокатаной стали); полувагоны закрытые (универсальные; для перевозки: окатышей и агломерата; битума; кокса; сыпучих металлургических грузов; технологической щепы; торфа; вагоны-думпкары и хоппер-дозаторы); цистерны (</w:t>
            </w:r>
            <w:proofErr w:type="spellStart"/>
            <w:r>
              <w:t>нефтебензиновые</w:t>
            </w:r>
            <w:proofErr w:type="spellEnd"/>
            <w:r>
              <w:t xml:space="preserve">; </w:t>
            </w:r>
            <w:proofErr w:type="spellStart"/>
            <w:r>
              <w:t>восьмиосные</w:t>
            </w:r>
            <w:proofErr w:type="spellEnd"/>
            <w:r>
              <w:t xml:space="preserve"> </w:t>
            </w:r>
            <w:proofErr w:type="spellStart"/>
            <w:r>
              <w:t>нефтебен-зиновые</w:t>
            </w:r>
            <w:proofErr w:type="spellEnd"/>
            <w:r>
              <w:t xml:space="preserve">, для перевозки вязких </w:t>
            </w:r>
            <w:proofErr w:type="spellStart"/>
            <w:r>
              <w:t>нефте</w:t>
            </w:r>
            <w:proofErr w:type="spellEnd"/>
            <w:r>
              <w:t xml:space="preserve">-продуктов; для перевозки кислоты 4-х и 8-миосные (серной, слабой азотной, соляной, фенола, суперфосфатной, уксусной, олеума); для перевозки улучшенной серной кислоты; для перевозки меланжа; для перевозки спиртов и пищевых продуктов (спирта, виноматериалов, плодоовощных соков, молока); для перевозки пропана, аммиака, углеводородных газов; для перевозки хлора, этиловой жидкости, ацетальдегида, винилхлорида, пентана, желтого фосфора; для перевозки кальцинированной соды, поливинилхлорида, </w:t>
            </w:r>
            <w:proofErr w:type="spellStart"/>
            <w:r>
              <w:t>капролактама</w:t>
            </w:r>
            <w:proofErr w:type="spellEnd"/>
            <w:r>
              <w:t xml:space="preserve">, жидкого пека, пасты </w:t>
            </w:r>
            <w:proofErr w:type="spellStart"/>
            <w:r>
              <w:t>сульфанола</w:t>
            </w:r>
            <w:proofErr w:type="spellEnd"/>
            <w:r>
              <w:t xml:space="preserve">, серы, расплавленной серы; для перевозки ядохимикатов бензола, метанола; для перевозки цемента; для перевозки тяжелых порошкообразных грузов); платформы (универсальные; для перевозки большегрузных контейнеров, </w:t>
            </w:r>
            <w:proofErr w:type="spellStart"/>
            <w:r>
              <w:t>крупнотон-нажных</w:t>
            </w:r>
            <w:proofErr w:type="spellEnd"/>
            <w:r>
              <w:t xml:space="preserve"> контейнеров и колесной техники; для перевозки автомобилей двухъярусные; для перевозки рулонной стали; для перевозки леса в хлыстах; для </w:t>
            </w:r>
            <w:proofErr w:type="spellStart"/>
            <w:r>
              <w:t>перевозкилесоматериалов</w:t>
            </w:r>
            <w:proofErr w:type="spellEnd"/>
            <w:r>
              <w:t xml:space="preserve">; универсальные с комплектом металлических стоек типа ВО-118); тележка; колесная пара; колеса цельнокатаные; оси; пружины витые; рессоры; гасители колебаний гидравлические; </w:t>
            </w:r>
            <w:proofErr w:type="spellStart"/>
            <w:r>
              <w:t>надрессорная</w:t>
            </w:r>
            <w:proofErr w:type="spellEnd"/>
            <w:r>
              <w:t xml:space="preserve"> балка; боковая рама; рама тележки; воздухораспределители, включая </w:t>
            </w:r>
            <w:proofErr w:type="spellStart"/>
            <w:r>
              <w:t>электровоздухораспределители</w:t>
            </w:r>
            <w:proofErr w:type="spellEnd"/>
            <w:r>
              <w:t xml:space="preserve"> (в сборе); рукава соединительные (в сборе); резервуары воздушные; </w:t>
            </w:r>
            <w:proofErr w:type="spellStart"/>
            <w:r>
              <w:t>триангели</w:t>
            </w:r>
            <w:proofErr w:type="spellEnd"/>
            <w:r>
              <w:t xml:space="preserve">; башмаки тормозные; колодки тормозные; тормозные цилиндры; автосцепка (в сборе) (корпус автосцепки; поглощающий аппарат; хомут; упоры передний и задний; клин); контейнеры </w:t>
            </w:r>
            <w:proofErr w:type="spellStart"/>
            <w:r>
              <w:t>среднетоннажные</w:t>
            </w:r>
            <w:proofErr w:type="spellEnd"/>
            <w:r>
              <w:t xml:space="preserve"> (новые) (универсальные; специальные, в том числе для перевозки опасных грузов); карданные валы главного привода тепловозов и дизель-поездов; колесные пары локомотивные; оси колесные локомотивные; валы карданные приводов генераторов; замки стрелочные контрольные; замедлители горочные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65BE" w:rsidRDefault="00B865BE">
            <w:pPr>
              <w:jc w:val="center"/>
            </w:pPr>
            <w:r>
              <w:t>8601 10 000 0 8601 20 000 0</w:t>
            </w:r>
          </w:p>
          <w:p w:rsidR="00B865BE" w:rsidRDefault="00B865BE">
            <w:pPr>
              <w:jc w:val="center"/>
            </w:pPr>
            <w:r>
              <w:t>00 000 0</w:t>
            </w:r>
          </w:p>
          <w:p w:rsidR="00B865BE" w:rsidRDefault="00B865BE">
            <w:pPr>
              <w:jc w:val="center"/>
            </w:pPr>
            <w:r>
              <w:t>00 000 0</w:t>
            </w:r>
          </w:p>
          <w:p w:rsidR="00B865BE" w:rsidRDefault="00B865BE">
            <w:pPr>
              <w:jc w:val="center"/>
            </w:pPr>
            <w:r>
              <w:t>91 800 0</w:t>
            </w:r>
          </w:p>
          <w:p w:rsidR="00B865BE" w:rsidRDefault="00B865BE">
            <w:pPr>
              <w:jc w:val="center"/>
            </w:pPr>
            <w:r>
              <w:t>92 000 0 8607</w:t>
            </w:r>
          </w:p>
          <w:p w:rsidR="00B865BE" w:rsidRDefault="00B865BE">
            <w:pPr>
              <w:jc w:val="center"/>
            </w:pPr>
            <w:r>
              <w:t>11 000 0 8607 12 000 0 8607 19 100 9 8607 19 900 0</w:t>
            </w:r>
          </w:p>
          <w:p w:rsidR="00B865BE" w:rsidRDefault="00B865BE">
            <w:pPr>
              <w:jc w:val="center"/>
            </w:pPr>
            <w:r>
              <w:t>8607 21 8607 29 000 0</w:t>
            </w:r>
          </w:p>
          <w:p w:rsidR="00B865BE" w:rsidRDefault="00B865BE">
            <w:pPr>
              <w:jc w:val="center"/>
            </w:pPr>
            <w:r>
              <w:t>30 000 0</w:t>
            </w:r>
          </w:p>
          <w:p w:rsidR="00B865BE" w:rsidRDefault="00B865BE">
            <w:pPr>
              <w:jc w:val="center"/>
            </w:pPr>
            <w:r>
              <w:t>00 000 1 8609 00</w:t>
            </w:r>
          </w:p>
        </w:tc>
        <w:tc>
          <w:tcPr>
            <w:tcW w:w="2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865BE" w:rsidRDefault="00B865BE">
            <w:r>
              <w:t>».</w:t>
            </w:r>
          </w:p>
        </w:tc>
      </w:tr>
    </w:tbl>
    <w:p w:rsidR="00B865BE" w:rsidRDefault="00B865BE" w:rsidP="00B865BE">
      <w:pPr>
        <w:shd w:val="clear" w:color="auto" w:fill="FFFFFF"/>
        <w:rPr>
          <w:rFonts w:eastAsia="Times New Roman"/>
        </w:rPr>
      </w:pPr>
    </w:p>
    <w:p w:rsidR="00B865BE" w:rsidRDefault="00B865BE" w:rsidP="00B865BE">
      <w:pPr>
        <w:shd w:val="clear" w:color="auto" w:fill="FFFFFF"/>
        <w:jc w:val="center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(Национальная база данных законодательства, 26.03.2018 г., № 09/18/211/0934, 06.07.2018 г., № 09/18/505/1460)</w:t>
      </w:r>
    </w:p>
    <w:p w:rsidR="005B0B11" w:rsidRDefault="005B0B11">
      <w:bookmarkStart w:id="0" w:name="_GoBack"/>
      <w:bookmarkEnd w:id="0"/>
    </w:p>
    <w:sectPr w:rsidR="005B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BE"/>
    <w:rsid w:val="005B0B11"/>
    <w:rsid w:val="00B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0CDB-CC04-4FFB-ACCA-987767AE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3595933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x.uz1787118?ONDATE=20.09.2016%2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3435440" TargetMode="External"/><Relationship Id="rId11" Type="http://schemas.openxmlformats.org/officeDocument/2006/relationships/hyperlink" Target="http://lex.uz3810920?ONDATE=06.07.2018%2000" TargetMode="External"/><Relationship Id="rId5" Type="http://schemas.openxmlformats.org/officeDocument/2006/relationships/hyperlink" Target="http://lex.uz3312896" TargetMode="External"/><Relationship Id="rId10" Type="http://schemas.openxmlformats.org/officeDocument/2006/relationships/hyperlink" Target="http://lex.uz3594142?ONDATE=26.03.2018%2000" TargetMode="External"/><Relationship Id="rId4" Type="http://schemas.openxmlformats.org/officeDocument/2006/relationships/hyperlink" Target="http://lex.uz13191" TargetMode="External"/><Relationship Id="rId9" Type="http://schemas.openxmlformats.org/officeDocument/2006/relationships/hyperlink" Target="javascript:scrollText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1187</Words>
  <Characters>6768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1</cp:revision>
  <dcterms:created xsi:type="dcterms:W3CDTF">2018-10-16T07:57:00Z</dcterms:created>
  <dcterms:modified xsi:type="dcterms:W3CDTF">2018-10-16T07:58:00Z</dcterms:modified>
</cp:coreProperties>
</file>